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2BA2" w:rsidRDefault="00062BA2" w:rsidP="00062BA2">
      <w:pPr>
        <w:spacing w:line="480" w:lineRule="auto"/>
        <w:ind w:firstLine="720"/>
        <w:rPr>
          <w:rFonts w:ascii="Times New Roman" w:hAnsi="Times New Roman" w:cs="Times New Roman"/>
          <w:sz w:val="24"/>
          <w:szCs w:val="24"/>
        </w:rPr>
      </w:pPr>
      <w:bookmarkStart w:id="0" w:name="_GoBack"/>
      <w:bookmarkEnd w:id="0"/>
    </w:p>
    <w:p w:rsidR="00E42E7C" w:rsidRDefault="00E42E7C" w:rsidP="00062BA2">
      <w:pPr>
        <w:spacing w:line="480" w:lineRule="auto"/>
        <w:ind w:firstLine="720"/>
        <w:rPr>
          <w:rFonts w:ascii="Times New Roman" w:hAnsi="Times New Roman" w:cs="Times New Roman"/>
          <w:sz w:val="24"/>
          <w:szCs w:val="24"/>
        </w:rPr>
      </w:pPr>
    </w:p>
    <w:p w:rsidR="00E42E7C" w:rsidRDefault="00E42E7C" w:rsidP="00062BA2">
      <w:pPr>
        <w:spacing w:line="480" w:lineRule="auto"/>
        <w:ind w:firstLine="720"/>
        <w:rPr>
          <w:rFonts w:ascii="Times New Roman" w:hAnsi="Times New Roman" w:cs="Times New Roman"/>
          <w:sz w:val="24"/>
          <w:szCs w:val="24"/>
        </w:rPr>
      </w:pPr>
    </w:p>
    <w:p w:rsidR="00E42E7C" w:rsidRDefault="00E42E7C" w:rsidP="00062BA2">
      <w:pPr>
        <w:spacing w:line="480" w:lineRule="auto"/>
        <w:ind w:firstLine="720"/>
        <w:rPr>
          <w:rFonts w:ascii="Times New Roman" w:hAnsi="Times New Roman" w:cs="Times New Roman"/>
          <w:sz w:val="24"/>
          <w:szCs w:val="24"/>
        </w:rPr>
      </w:pPr>
    </w:p>
    <w:p w:rsidR="00E42E7C" w:rsidRPr="00E42E7C" w:rsidRDefault="00E42E7C" w:rsidP="00E42E7C">
      <w:pPr>
        <w:spacing w:line="480" w:lineRule="auto"/>
        <w:ind w:firstLine="720"/>
        <w:jc w:val="center"/>
        <w:rPr>
          <w:rFonts w:ascii="Times New Roman" w:hAnsi="Times New Roman" w:cs="Times New Roman"/>
          <w:sz w:val="24"/>
          <w:szCs w:val="24"/>
        </w:rPr>
      </w:pPr>
      <w:r w:rsidRPr="00E42E7C">
        <w:rPr>
          <w:rFonts w:ascii="Times New Roman" w:hAnsi="Times New Roman" w:cs="Times New Roman"/>
          <w:sz w:val="24"/>
          <w:szCs w:val="24"/>
        </w:rPr>
        <w:t>UNITED STATES CRIMINAL COURT SYSTEM</w:t>
      </w:r>
    </w:p>
    <w:p w:rsidR="00E42E7C" w:rsidRPr="00E42E7C" w:rsidRDefault="00E42E7C" w:rsidP="00E42E7C">
      <w:pPr>
        <w:spacing w:line="480" w:lineRule="auto"/>
        <w:ind w:firstLine="720"/>
        <w:jc w:val="center"/>
        <w:rPr>
          <w:rFonts w:ascii="Times New Roman" w:hAnsi="Times New Roman" w:cs="Times New Roman"/>
          <w:sz w:val="24"/>
          <w:szCs w:val="24"/>
        </w:rPr>
      </w:pPr>
      <w:r w:rsidRPr="00E42E7C">
        <w:rPr>
          <w:rFonts w:ascii="Times New Roman" w:hAnsi="Times New Roman" w:cs="Times New Roman"/>
          <w:sz w:val="24"/>
          <w:szCs w:val="24"/>
        </w:rPr>
        <w:t>Student’s Name</w:t>
      </w:r>
    </w:p>
    <w:p w:rsidR="00062BA2" w:rsidRDefault="00E42E7C" w:rsidP="00E42E7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42E7C" w:rsidRDefault="00E42E7C" w:rsidP="00E42E7C">
      <w:pPr>
        <w:spacing w:line="480" w:lineRule="auto"/>
        <w:ind w:firstLine="720"/>
        <w:jc w:val="center"/>
        <w:rPr>
          <w:rFonts w:ascii="Times New Roman" w:hAnsi="Times New Roman" w:cs="Times New Roman"/>
          <w:sz w:val="24"/>
          <w:szCs w:val="24"/>
        </w:rPr>
      </w:pPr>
    </w:p>
    <w:p w:rsidR="00E42E7C" w:rsidRDefault="00E42E7C" w:rsidP="00E42E7C">
      <w:pPr>
        <w:spacing w:line="480" w:lineRule="auto"/>
        <w:ind w:firstLine="720"/>
        <w:jc w:val="center"/>
        <w:rPr>
          <w:rFonts w:ascii="Times New Roman" w:hAnsi="Times New Roman" w:cs="Times New Roman"/>
          <w:sz w:val="24"/>
          <w:szCs w:val="24"/>
        </w:rPr>
      </w:pPr>
    </w:p>
    <w:p w:rsidR="00E42E7C" w:rsidRDefault="00E42E7C" w:rsidP="00E42E7C">
      <w:pPr>
        <w:spacing w:line="480" w:lineRule="auto"/>
        <w:ind w:firstLine="720"/>
        <w:jc w:val="center"/>
        <w:rPr>
          <w:rFonts w:ascii="Times New Roman" w:hAnsi="Times New Roman" w:cs="Times New Roman"/>
          <w:sz w:val="24"/>
          <w:szCs w:val="24"/>
        </w:rPr>
      </w:pPr>
    </w:p>
    <w:p w:rsidR="00E42E7C" w:rsidRDefault="00E42E7C" w:rsidP="00E42E7C">
      <w:pPr>
        <w:spacing w:line="480" w:lineRule="auto"/>
        <w:ind w:firstLine="720"/>
        <w:jc w:val="center"/>
        <w:rPr>
          <w:rFonts w:ascii="Times New Roman" w:hAnsi="Times New Roman" w:cs="Times New Roman"/>
          <w:sz w:val="24"/>
          <w:szCs w:val="24"/>
        </w:rPr>
      </w:pPr>
    </w:p>
    <w:p w:rsidR="00E42E7C" w:rsidRDefault="00E42E7C" w:rsidP="00E42E7C">
      <w:pPr>
        <w:spacing w:line="480" w:lineRule="auto"/>
        <w:ind w:firstLine="720"/>
        <w:jc w:val="center"/>
        <w:rPr>
          <w:rFonts w:ascii="Times New Roman" w:hAnsi="Times New Roman" w:cs="Times New Roman"/>
          <w:sz w:val="24"/>
          <w:szCs w:val="24"/>
        </w:rPr>
      </w:pPr>
    </w:p>
    <w:p w:rsidR="00E42E7C" w:rsidRDefault="00E42E7C" w:rsidP="00E42E7C">
      <w:pPr>
        <w:spacing w:line="480" w:lineRule="auto"/>
        <w:ind w:firstLine="720"/>
        <w:jc w:val="center"/>
        <w:rPr>
          <w:rFonts w:ascii="Times New Roman" w:hAnsi="Times New Roman" w:cs="Times New Roman"/>
          <w:sz w:val="24"/>
          <w:szCs w:val="24"/>
        </w:rPr>
      </w:pPr>
    </w:p>
    <w:p w:rsidR="00E42E7C" w:rsidRDefault="00E42E7C" w:rsidP="00E42E7C">
      <w:pPr>
        <w:spacing w:line="480" w:lineRule="auto"/>
        <w:ind w:firstLine="720"/>
        <w:jc w:val="center"/>
        <w:rPr>
          <w:rFonts w:ascii="Times New Roman" w:hAnsi="Times New Roman" w:cs="Times New Roman"/>
          <w:sz w:val="24"/>
          <w:szCs w:val="24"/>
        </w:rPr>
      </w:pPr>
    </w:p>
    <w:p w:rsidR="00E42E7C" w:rsidRDefault="00E42E7C" w:rsidP="00E42E7C">
      <w:pPr>
        <w:spacing w:line="480" w:lineRule="auto"/>
        <w:ind w:firstLine="720"/>
        <w:jc w:val="center"/>
        <w:rPr>
          <w:rFonts w:ascii="Times New Roman" w:hAnsi="Times New Roman" w:cs="Times New Roman"/>
          <w:sz w:val="24"/>
          <w:szCs w:val="24"/>
        </w:rPr>
      </w:pPr>
    </w:p>
    <w:p w:rsidR="00062BA2" w:rsidRDefault="00062BA2" w:rsidP="00062BA2">
      <w:pPr>
        <w:spacing w:line="480" w:lineRule="auto"/>
        <w:ind w:firstLine="720"/>
        <w:rPr>
          <w:rFonts w:ascii="Times New Roman" w:hAnsi="Times New Roman" w:cs="Times New Roman"/>
          <w:sz w:val="24"/>
          <w:szCs w:val="24"/>
        </w:rPr>
      </w:pPr>
    </w:p>
    <w:p w:rsidR="00062BA2" w:rsidRDefault="00062BA2" w:rsidP="00062BA2">
      <w:pPr>
        <w:spacing w:line="480" w:lineRule="auto"/>
        <w:ind w:firstLine="720"/>
        <w:rPr>
          <w:rFonts w:ascii="Times New Roman" w:hAnsi="Times New Roman" w:cs="Times New Roman"/>
          <w:sz w:val="24"/>
          <w:szCs w:val="24"/>
        </w:rPr>
      </w:pPr>
    </w:p>
    <w:p w:rsidR="00062BA2" w:rsidRPr="00E42E7C" w:rsidRDefault="00062BA2" w:rsidP="00E42E7C">
      <w:pPr>
        <w:spacing w:line="480" w:lineRule="auto"/>
        <w:ind w:firstLine="720"/>
        <w:jc w:val="center"/>
        <w:rPr>
          <w:rFonts w:ascii="Times New Roman" w:hAnsi="Times New Roman" w:cs="Times New Roman"/>
          <w:b/>
          <w:sz w:val="24"/>
          <w:szCs w:val="24"/>
        </w:rPr>
      </w:pPr>
      <w:r w:rsidRPr="00E42E7C">
        <w:rPr>
          <w:rFonts w:ascii="Times New Roman" w:hAnsi="Times New Roman" w:cs="Times New Roman"/>
          <w:b/>
          <w:sz w:val="24"/>
          <w:szCs w:val="24"/>
        </w:rPr>
        <w:lastRenderedPageBreak/>
        <w:t>Introduction.</w:t>
      </w:r>
    </w:p>
    <w:p w:rsidR="00062BA2" w:rsidRPr="00062BA2" w:rsidRDefault="00062BA2" w:rsidP="00062BA2">
      <w:pPr>
        <w:spacing w:line="480" w:lineRule="auto"/>
        <w:ind w:firstLine="720"/>
        <w:rPr>
          <w:rFonts w:ascii="Times New Roman" w:hAnsi="Times New Roman" w:cs="Times New Roman"/>
          <w:sz w:val="24"/>
          <w:szCs w:val="24"/>
        </w:rPr>
      </w:pPr>
      <w:r w:rsidRPr="00062BA2">
        <w:rPr>
          <w:rFonts w:ascii="Times New Roman" w:hAnsi="Times New Roman" w:cs="Times New Roman"/>
          <w:sz w:val="24"/>
          <w:szCs w:val="24"/>
        </w:rPr>
        <w:t xml:space="preserve">The essay will examine the historical aspect of the United States Criminal Court System, highlighting the impact it has on the current processes that take place in the United States court systems.  The essay will also explain the effect of the one historical aspect on the working of the different court personnel.  I will define various court terminologies in the end, identifying several areas in the American criminal court systems that need improvement.  The presidents are given the mandate to appoint the judges with the administration of the federal criminal justice systems through court systems. The United States Senate will confirm the appointed judges by the presidents.  The federal Attorney General, appointed state attorney, and prosecutors will be given the duty to handle the court's daily activities. </w:t>
      </w:r>
    </w:p>
    <w:p w:rsidR="00062BA2" w:rsidRPr="00E42E7C" w:rsidRDefault="00062BA2" w:rsidP="00E42E7C">
      <w:pPr>
        <w:spacing w:line="480" w:lineRule="auto"/>
        <w:ind w:firstLine="720"/>
        <w:jc w:val="center"/>
        <w:rPr>
          <w:rFonts w:ascii="Times New Roman" w:hAnsi="Times New Roman" w:cs="Times New Roman"/>
          <w:b/>
          <w:sz w:val="24"/>
          <w:szCs w:val="24"/>
        </w:rPr>
      </w:pPr>
      <w:r w:rsidRPr="00E42E7C">
        <w:rPr>
          <w:rFonts w:ascii="Times New Roman" w:hAnsi="Times New Roman" w:cs="Times New Roman"/>
          <w:b/>
          <w:sz w:val="24"/>
          <w:szCs w:val="24"/>
        </w:rPr>
        <w:t>One historical aspect of the United States Criminal Court System.</w:t>
      </w:r>
    </w:p>
    <w:p w:rsidR="00062BA2" w:rsidRPr="00062BA2" w:rsidRDefault="00062BA2" w:rsidP="00062BA2">
      <w:pPr>
        <w:spacing w:line="480" w:lineRule="auto"/>
        <w:ind w:firstLine="720"/>
        <w:rPr>
          <w:rFonts w:ascii="Times New Roman" w:hAnsi="Times New Roman" w:cs="Times New Roman"/>
          <w:sz w:val="24"/>
          <w:szCs w:val="24"/>
        </w:rPr>
      </w:pPr>
      <w:r w:rsidRPr="00062BA2">
        <w:rPr>
          <w:rFonts w:ascii="Times New Roman" w:hAnsi="Times New Roman" w:cs="Times New Roman"/>
          <w:sz w:val="24"/>
          <w:szCs w:val="24"/>
        </w:rPr>
        <w:t xml:space="preserve">The current state of the United States Criminal Court System is a product of several evolutionary changes since its inceptions.  It borrows a leaf from the Code of Hammurabi, which portrays ancient societies exhibiting mature signs of civilizations.  Models of criminal justice are one of the historical aspects of the United States Criminal Justice that I will discuss.  According to Packer (1968), the crime control model is one of the criminal justice models that view the suppression of unlawful conduct. The latter formed one of the pivotal functions of the criminal justice law court.  The model highlighted one of the critical systems of controlling crime as comprehending, punishing, convicting, and more. A failure to do so will lead to a loss in human freedom. (Packer, 1968) Packer goes further to lament that under the crime control model efficiently is vital in the operation of the criminal process.  Therefore the model puts much emphasis on time speed, uniformity, and finality of the criminal justice court process.  One of the </w:t>
      </w:r>
      <w:r w:rsidRPr="00062BA2">
        <w:rPr>
          <w:rFonts w:ascii="Times New Roman" w:hAnsi="Times New Roman" w:cs="Times New Roman"/>
          <w:sz w:val="24"/>
          <w:szCs w:val="24"/>
        </w:rPr>
        <w:lastRenderedPageBreak/>
        <w:t xml:space="preserve">best analogies that Packer uses to describe the operation of the criminal process under this model is through the notion of the assembly line conveyer belt. The latter moves continuously without stopping making it efficient.  </w:t>
      </w:r>
    </w:p>
    <w:p w:rsidR="00062BA2" w:rsidRPr="00062BA2" w:rsidRDefault="00062BA2" w:rsidP="00062BA2">
      <w:pPr>
        <w:spacing w:line="480" w:lineRule="auto"/>
        <w:ind w:firstLine="720"/>
        <w:rPr>
          <w:rFonts w:ascii="Times New Roman" w:hAnsi="Times New Roman" w:cs="Times New Roman"/>
          <w:sz w:val="24"/>
          <w:szCs w:val="24"/>
        </w:rPr>
      </w:pPr>
      <w:r w:rsidRPr="00062BA2">
        <w:rPr>
          <w:rFonts w:ascii="Times New Roman" w:hAnsi="Times New Roman" w:cs="Times New Roman"/>
          <w:sz w:val="24"/>
          <w:szCs w:val="24"/>
        </w:rPr>
        <w:t>Another historical aspect of the United States Criminal court system is the use of the due process model. The model does not include stress efficiency; rather, it put much emphasis on reliability. It also does not place much power on the police, prosecutors, and more for the court process to be competing. Instead, it points out to a greater extent the probability of errors arising from the latter means, defenders will get a fair trial, and they will be innocent until proven guilty. The ancient two models used in the United States court systems have ensured that there is a high degree of reliability when handling court matters today.  In the processes, defenders are put in a perfect place.</w:t>
      </w:r>
    </w:p>
    <w:p w:rsidR="00062BA2" w:rsidRPr="00E42E7C" w:rsidRDefault="00062BA2" w:rsidP="00E42E7C">
      <w:pPr>
        <w:spacing w:line="480" w:lineRule="auto"/>
        <w:ind w:firstLine="720"/>
        <w:jc w:val="center"/>
        <w:rPr>
          <w:rFonts w:ascii="Times New Roman" w:hAnsi="Times New Roman" w:cs="Times New Roman"/>
          <w:b/>
          <w:sz w:val="24"/>
          <w:szCs w:val="24"/>
        </w:rPr>
      </w:pPr>
      <w:r w:rsidRPr="00E42E7C">
        <w:rPr>
          <w:rFonts w:ascii="Times New Roman" w:hAnsi="Times New Roman" w:cs="Times New Roman"/>
          <w:b/>
          <w:sz w:val="24"/>
          <w:szCs w:val="24"/>
        </w:rPr>
        <w:t>Ways this historical aspect affected the court personnel.</w:t>
      </w:r>
    </w:p>
    <w:p w:rsidR="00062BA2" w:rsidRPr="00062BA2" w:rsidRDefault="00062BA2" w:rsidP="00062BA2">
      <w:pPr>
        <w:spacing w:line="480" w:lineRule="auto"/>
        <w:ind w:firstLine="720"/>
        <w:rPr>
          <w:rFonts w:ascii="Times New Roman" w:hAnsi="Times New Roman" w:cs="Times New Roman"/>
          <w:sz w:val="24"/>
          <w:szCs w:val="24"/>
        </w:rPr>
      </w:pPr>
      <w:r w:rsidRPr="00062BA2">
        <w:rPr>
          <w:rFonts w:ascii="Times New Roman" w:hAnsi="Times New Roman" w:cs="Times New Roman"/>
          <w:sz w:val="24"/>
          <w:szCs w:val="24"/>
        </w:rPr>
        <w:t xml:space="preserve">The two models used in ancient times have to lead to judges and attorneys integrating the two processes for offering perfect criminal justice. For example, it has lead to judges and many other criminal officials doing their best to provide efficiency and reliability in the criminal court system. The processes have also lead to the eradication of cases where judges and other officials would make their ruling favoring on one side, unknowingly.  </w:t>
      </w:r>
    </w:p>
    <w:p w:rsidR="00062BA2" w:rsidRPr="00062BA2" w:rsidRDefault="00062BA2" w:rsidP="00062BA2">
      <w:pPr>
        <w:spacing w:line="480" w:lineRule="auto"/>
        <w:ind w:firstLine="720"/>
        <w:rPr>
          <w:rFonts w:ascii="Times New Roman" w:hAnsi="Times New Roman" w:cs="Times New Roman"/>
          <w:sz w:val="24"/>
          <w:szCs w:val="24"/>
        </w:rPr>
      </w:pPr>
      <w:r w:rsidRPr="00062BA2">
        <w:rPr>
          <w:rFonts w:ascii="Times New Roman" w:hAnsi="Times New Roman" w:cs="Times New Roman"/>
          <w:sz w:val="24"/>
          <w:szCs w:val="24"/>
        </w:rPr>
        <w:t xml:space="preserve">Secondly, it has also enabled the court personnel to understand the working of the precedent doctrine.  Not in all cases are they to agree to decisions made by the supreme me court, but based on the situation in hand, the judges can also overrule the decisions.  One of the reasons for that is when a judge believes that a case he/she is expected to rule against is different from one rule by Supreme Court based on facts. A good example is on a case Plessy vs. Fergusson. </w:t>
      </w:r>
      <w:r w:rsidRPr="00062BA2">
        <w:rPr>
          <w:rFonts w:ascii="Times New Roman" w:hAnsi="Times New Roman" w:cs="Times New Roman"/>
          <w:sz w:val="24"/>
          <w:szCs w:val="24"/>
        </w:rPr>
        <w:lastRenderedPageBreak/>
        <w:t>The latter is an original case tabled before the supermen court in 1896. The case upheld the constitutionality of racial segregation in public accommodations. Later the decision was struck down by a Kansas Law court that ruled out it was terrible to practice racial discrimination in public schools.</w:t>
      </w:r>
    </w:p>
    <w:p w:rsidR="00062BA2" w:rsidRPr="00E42E7C" w:rsidRDefault="00062BA2" w:rsidP="00E42E7C">
      <w:pPr>
        <w:spacing w:line="480" w:lineRule="auto"/>
        <w:ind w:firstLine="720"/>
        <w:jc w:val="center"/>
        <w:rPr>
          <w:rFonts w:ascii="Times New Roman" w:hAnsi="Times New Roman" w:cs="Times New Roman"/>
          <w:b/>
          <w:sz w:val="24"/>
          <w:szCs w:val="24"/>
        </w:rPr>
      </w:pPr>
      <w:r w:rsidRPr="00E42E7C">
        <w:rPr>
          <w:rFonts w:ascii="Times New Roman" w:hAnsi="Times New Roman" w:cs="Times New Roman"/>
          <w:b/>
          <w:sz w:val="24"/>
          <w:szCs w:val="24"/>
        </w:rPr>
        <w:t>Key Court Terminologies.</w:t>
      </w:r>
    </w:p>
    <w:p w:rsidR="00062BA2" w:rsidRPr="00062BA2" w:rsidRDefault="00062BA2" w:rsidP="00062BA2">
      <w:pPr>
        <w:spacing w:line="480" w:lineRule="auto"/>
        <w:ind w:firstLine="720"/>
        <w:rPr>
          <w:rFonts w:ascii="Times New Roman" w:hAnsi="Times New Roman" w:cs="Times New Roman"/>
          <w:sz w:val="24"/>
          <w:szCs w:val="24"/>
        </w:rPr>
      </w:pPr>
      <w:r w:rsidRPr="00062BA2">
        <w:rPr>
          <w:rFonts w:ascii="Times New Roman" w:hAnsi="Times New Roman" w:cs="Times New Roman"/>
          <w:sz w:val="24"/>
          <w:szCs w:val="24"/>
        </w:rPr>
        <w:t xml:space="preserve">The term Stare Decisis is used in many courts, and the Latin term is legal doctrines that need many courts to make their ruling based on the verdict of many past cases.  In the Latin language, the word means to stand by what is decided. The objective of the doctrine is to ensure the same approach and ruling of cases with similar scenarios and facts.  </w:t>
      </w:r>
    </w:p>
    <w:p w:rsidR="00062BA2" w:rsidRPr="00062BA2" w:rsidRDefault="00062BA2" w:rsidP="00062BA2">
      <w:pPr>
        <w:spacing w:line="480" w:lineRule="auto"/>
        <w:ind w:firstLine="720"/>
        <w:rPr>
          <w:rFonts w:ascii="Times New Roman" w:hAnsi="Times New Roman" w:cs="Times New Roman"/>
          <w:sz w:val="24"/>
          <w:szCs w:val="24"/>
        </w:rPr>
      </w:pPr>
      <w:r w:rsidRPr="00062BA2">
        <w:rPr>
          <w:rFonts w:ascii="Times New Roman" w:hAnsi="Times New Roman" w:cs="Times New Roman"/>
          <w:sz w:val="24"/>
          <w:szCs w:val="24"/>
        </w:rPr>
        <w:t>Precedent is the second court terminology used to imply a ruling and judgment based on a case. An example is made when there is a unique case with close to no past reference when a judge is making a ruling Precedent term is used in conjunction with Stare decisis. When used together, courts will need to follow the previous ruling made by high courts or other higher courts. A good example is with the Kansas appellate courts following the decision of the Kansas Supreme Court or the United States Supreme high court.</w:t>
      </w:r>
    </w:p>
    <w:p w:rsidR="00062BA2" w:rsidRPr="00062BA2" w:rsidRDefault="00062BA2" w:rsidP="00062BA2">
      <w:pPr>
        <w:spacing w:line="480" w:lineRule="auto"/>
        <w:ind w:firstLine="720"/>
        <w:rPr>
          <w:rFonts w:ascii="Times New Roman" w:hAnsi="Times New Roman" w:cs="Times New Roman"/>
          <w:sz w:val="24"/>
          <w:szCs w:val="24"/>
        </w:rPr>
      </w:pPr>
      <w:r w:rsidRPr="00062BA2">
        <w:rPr>
          <w:rFonts w:ascii="Times New Roman" w:hAnsi="Times New Roman" w:cs="Times New Roman"/>
          <w:sz w:val="24"/>
          <w:szCs w:val="24"/>
        </w:rPr>
        <w:t xml:space="preserve">Ex Officio is another Latin court terminology used to mean by one's office. In the legislative body context, for example, in the United States Senate, its rules allow ranking minority members a chairperson to take part in any subcommittees' issues. Res Ipsa Loquitur is another Latin phrase used to mean an indispensable condition.  Other court terminologies include Alibi, which is a Latin word that means elsewhere in English. Perse is another Latin world that means another place. Perse, Latin World says sincerely.  </w:t>
      </w:r>
    </w:p>
    <w:p w:rsidR="00062BA2" w:rsidRPr="00062BA2" w:rsidRDefault="00062BA2" w:rsidP="00062BA2">
      <w:pPr>
        <w:spacing w:line="480" w:lineRule="auto"/>
        <w:ind w:firstLine="720"/>
        <w:rPr>
          <w:rFonts w:ascii="Times New Roman" w:hAnsi="Times New Roman" w:cs="Times New Roman"/>
          <w:sz w:val="24"/>
          <w:szCs w:val="24"/>
        </w:rPr>
      </w:pPr>
      <w:r w:rsidRPr="00062BA2">
        <w:rPr>
          <w:rFonts w:ascii="Times New Roman" w:hAnsi="Times New Roman" w:cs="Times New Roman"/>
          <w:sz w:val="24"/>
          <w:szCs w:val="24"/>
        </w:rPr>
        <w:lastRenderedPageBreak/>
        <w:t xml:space="preserve">Admissible is another non-Latino court terminology that means any testimonial tangible evidence, or even documentary, which one can introduce as evidence to the court to elaborate a certain point. The opposite of relevant evidence is inadmissible evidence, which is another essential court terminology.  Inadmissible evidence cannot be admitted as evidence to the court on an ongoing trial. </w:t>
      </w:r>
    </w:p>
    <w:p w:rsidR="00062BA2" w:rsidRPr="00062BA2" w:rsidRDefault="00062BA2" w:rsidP="00062BA2">
      <w:pPr>
        <w:spacing w:line="480" w:lineRule="auto"/>
        <w:ind w:firstLine="720"/>
        <w:rPr>
          <w:rFonts w:ascii="Times New Roman" w:hAnsi="Times New Roman" w:cs="Times New Roman"/>
          <w:sz w:val="24"/>
          <w:szCs w:val="24"/>
        </w:rPr>
      </w:pPr>
      <w:r w:rsidRPr="00062BA2">
        <w:rPr>
          <w:rFonts w:ascii="Times New Roman" w:hAnsi="Times New Roman" w:cs="Times New Roman"/>
          <w:sz w:val="24"/>
          <w:szCs w:val="24"/>
        </w:rPr>
        <w:t xml:space="preserve">Arraign is another court terminology that means an arrangement of an accused. The process involves the calling upon of the accused by name. Afterward, the process that will follow is the reading of the charges documented in the arrest document. The accused will need to either plead guilty or not guilty.  Attachment court terminology jargon refers to taking, seizing person property, and apprehending, under a judicial order.  Bail, on the other hand, is a terminology that means the release of a person from legal custody via a written agreement.  The written argument will appear in writing and will be submitted to the jurisdiction of the court. </w:t>
      </w:r>
    </w:p>
    <w:p w:rsidR="00062BA2" w:rsidRPr="00062BA2" w:rsidRDefault="00062BA2" w:rsidP="00062BA2">
      <w:pPr>
        <w:spacing w:line="480" w:lineRule="auto"/>
        <w:ind w:firstLine="720"/>
        <w:rPr>
          <w:rFonts w:ascii="Times New Roman" w:hAnsi="Times New Roman" w:cs="Times New Roman"/>
          <w:sz w:val="24"/>
          <w:szCs w:val="24"/>
        </w:rPr>
      </w:pPr>
      <w:r w:rsidRPr="00062BA2">
        <w:rPr>
          <w:rFonts w:ascii="Times New Roman" w:hAnsi="Times New Roman" w:cs="Times New Roman"/>
          <w:sz w:val="24"/>
          <w:szCs w:val="24"/>
        </w:rPr>
        <w:t xml:space="preserve">A deposition is another court terminology used to refer a testimony of a witness made upon an oral examination. Deposition occurs after a notice is given to the adverse party, and not in open court. In the process, the adverse party will have the right to attend cross-examine a witness. Even though the testimony will be reduced to writing, and the book will be authenticated for use during the court trial process. </w:t>
      </w:r>
    </w:p>
    <w:p w:rsidR="00062BA2" w:rsidRPr="00062BA2" w:rsidRDefault="00062BA2" w:rsidP="00062BA2">
      <w:pPr>
        <w:spacing w:line="480" w:lineRule="auto"/>
        <w:ind w:firstLine="720"/>
        <w:rPr>
          <w:rFonts w:ascii="Times New Roman" w:hAnsi="Times New Roman" w:cs="Times New Roman"/>
          <w:sz w:val="24"/>
          <w:szCs w:val="24"/>
        </w:rPr>
      </w:pPr>
      <w:r w:rsidRPr="00062BA2">
        <w:rPr>
          <w:rFonts w:ascii="Times New Roman" w:hAnsi="Times New Roman" w:cs="Times New Roman"/>
          <w:sz w:val="24"/>
          <w:szCs w:val="24"/>
        </w:rPr>
        <w:t xml:space="preserve">Habeas Corpus is another Latino terminology, which is writing that commands the person that hold a prisoner in custody to bring him/ her before the court. When the prisoner is arranged in court, the process will be used to determine whether he .she is guilty, innocent, or has a case to answer. </w:t>
      </w:r>
    </w:p>
    <w:p w:rsidR="00E42E7C" w:rsidRDefault="00E42E7C" w:rsidP="00062BA2">
      <w:pPr>
        <w:spacing w:line="480" w:lineRule="auto"/>
        <w:ind w:firstLine="720"/>
        <w:rPr>
          <w:rFonts w:ascii="Times New Roman" w:hAnsi="Times New Roman" w:cs="Times New Roman"/>
          <w:sz w:val="24"/>
          <w:szCs w:val="24"/>
        </w:rPr>
      </w:pPr>
    </w:p>
    <w:p w:rsidR="00E42E7C" w:rsidRPr="00E42E7C" w:rsidRDefault="00E42E7C" w:rsidP="00E42E7C">
      <w:pPr>
        <w:spacing w:line="480" w:lineRule="auto"/>
        <w:ind w:firstLine="720"/>
        <w:jc w:val="center"/>
        <w:rPr>
          <w:rFonts w:ascii="Times New Roman" w:hAnsi="Times New Roman" w:cs="Times New Roman"/>
          <w:b/>
          <w:sz w:val="24"/>
          <w:szCs w:val="24"/>
        </w:rPr>
      </w:pPr>
      <w:r w:rsidRPr="00E42E7C">
        <w:rPr>
          <w:rFonts w:ascii="Times New Roman" w:hAnsi="Times New Roman" w:cs="Times New Roman"/>
          <w:b/>
          <w:sz w:val="24"/>
          <w:szCs w:val="24"/>
        </w:rPr>
        <w:lastRenderedPageBreak/>
        <w:t>References.</w:t>
      </w:r>
    </w:p>
    <w:p w:rsidR="00062BA2" w:rsidRPr="00062BA2" w:rsidRDefault="00062BA2" w:rsidP="00E42E7C">
      <w:pPr>
        <w:spacing w:line="480" w:lineRule="auto"/>
        <w:ind w:left="720" w:hanging="720"/>
        <w:rPr>
          <w:rFonts w:ascii="Times New Roman" w:hAnsi="Times New Roman" w:cs="Times New Roman"/>
          <w:sz w:val="24"/>
          <w:szCs w:val="24"/>
        </w:rPr>
      </w:pPr>
      <w:r w:rsidRPr="00062BA2">
        <w:rPr>
          <w:rFonts w:ascii="Times New Roman" w:hAnsi="Times New Roman" w:cs="Times New Roman"/>
          <w:sz w:val="24"/>
          <w:szCs w:val="24"/>
        </w:rPr>
        <w:t>Feeley, M. M. (1979). The process is the punishment: Handling cases in a lower criminal court. Russell Sage Foundation.</w:t>
      </w:r>
    </w:p>
    <w:p w:rsidR="00062BA2" w:rsidRPr="00062BA2" w:rsidRDefault="00062BA2" w:rsidP="00E42E7C">
      <w:pPr>
        <w:spacing w:line="480" w:lineRule="auto"/>
        <w:ind w:left="720" w:hanging="720"/>
        <w:rPr>
          <w:rFonts w:ascii="Times New Roman" w:hAnsi="Times New Roman" w:cs="Times New Roman"/>
          <w:sz w:val="24"/>
          <w:szCs w:val="24"/>
        </w:rPr>
      </w:pPr>
      <w:r w:rsidRPr="00062BA2">
        <w:rPr>
          <w:rFonts w:ascii="Times New Roman" w:hAnsi="Times New Roman" w:cs="Times New Roman"/>
          <w:sz w:val="24"/>
          <w:szCs w:val="24"/>
        </w:rPr>
        <w:t>Scheffer, D. J. (1999). The United States and the international criminal court. American Journal of International Law, 93(1), 12-22.</w:t>
      </w:r>
    </w:p>
    <w:p w:rsidR="00062BA2" w:rsidRPr="000374AD" w:rsidRDefault="00062BA2" w:rsidP="00E42E7C">
      <w:pPr>
        <w:spacing w:line="480" w:lineRule="auto"/>
        <w:ind w:left="720" w:hanging="720"/>
        <w:rPr>
          <w:rFonts w:ascii="Times New Roman" w:hAnsi="Times New Roman" w:cs="Times New Roman"/>
          <w:sz w:val="24"/>
          <w:szCs w:val="24"/>
        </w:rPr>
      </w:pPr>
      <w:r w:rsidRPr="00062BA2">
        <w:rPr>
          <w:rFonts w:ascii="Times New Roman" w:hAnsi="Times New Roman" w:cs="Times New Roman"/>
          <w:sz w:val="24"/>
          <w:szCs w:val="24"/>
        </w:rPr>
        <w:t>Ulmer, J. T. (1995). The organization and consequences of human pasts in criminal courts. The Sociological Quarterly, 36(3), 587-605.</w:t>
      </w:r>
    </w:p>
    <w:sectPr w:rsidR="00062BA2" w:rsidRPr="000374AD" w:rsidSect="00E42E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4B69" w:rsidRDefault="00274B69" w:rsidP="00062BA2">
      <w:pPr>
        <w:spacing w:after="0" w:line="240" w:lineRule="auto"/>
      </w:pPr>
      <w:r>
        <w:separator/>
      </w:r>
    </w:p>
  </w:endnote>
  <w:endnote w:type="continuationSeparator" w:id="0">
    <w:p w:rsidR="00274B69" w:rsidRDefault="00274B69" w:rsidP="00062B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4B69" w:rsidRDefault="00274B69" w:rsidP="00062BA2">
      <w:pPr>
        <w:spacing w:after="0" w:line="240" w:lineRule="auto"/>
      </w:pPr>
      <w:r>
        <w:separator/>
      </w:r>
    </w:p>
  </w:footnote>
  <w:footnote w:type="continuationSeparator" w:id="0">
    <w:p w:rsidR="00274B69" w:rsidRDefault="00274B69" w:rsidP="00062B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757954"/>
      <w:docPartObj>
        <w:docPartGallery w:val="Page Numbers (Top of Page)"/>
        <w:docPartUnique/>
      </w:docPartObj>
    </w:sdtPr>
    <w:sdtEndPr/>
    <w:sdtContent>
      <w:p w:rsidR="00062BA2" w:rsidRPr="00E42E7C" w:rsidRDefault="00E42E7C">
        <w:pPr>
          <w:pStyle w:val="Header"/>
          <w:rPr>
            <w:rFonts w:ascii="Times New Roman" w:hAnsi="Times New Roman" w:cs="Times New Roman"/>
            <w:sz w:val="24"/>
            <w:szCs w:val="24"/>
          </w:rPr>
        </w:pPr>
        <w:r w:rsidRPr="00E42E7C">
          <w:rPr>
            <w:rFonts w:ascii="Times New Roman" w:hAnsi="Times New Roman" w:cs="Times New Roman"/>
            <w:sz w:val="24"/>
            <w:szCs w:val="24"/>
          </w:rPr>
          <w:t>United States Criminal Court Systems</w:t>
        </w:r>
        <w:r w:rsidRPr="00E42E7C">
          <w:rPr>
            <w:rFonts w:ascii="Times New Roman" w:hAnsi="Times New Roman" w:cs="Times New Roman"/>
            <w:sz w:val="24"/>
            <w:szCs w:val="24"/>
          </w:rPr>
          <w:tab/>
        </w:r>
        <w:r w:rsidRPr="00E42E7C">
          <w:rPr>
            <w:rFonts w:ascii="Times New Roman" w:hAnsi="Times New Roman" w:cs="Times New Roman"/>
            <w:sz w:val="24"/>
            <w:szCs w:val="24"/>
          </w:rPr>
          <w:tab/>
        </w:r>
        <w:r w:rsidR="00062BA2" w:rsidRPr="00E42E7C">
          <w:rPr>
            <w:rFonts w:ascii="Times New Roman" w:hAnsi="Times New Roman" w:cs="Times New Roman"/>
            <w:sz w:val="24"/>
            <w:szCs w:val="24"/>
          </w:rPr>
          <w:fldChar w:fldCharType="begin"/>
        </w:r>
        <w:r w:rsidR="00062BA2" w:rsidRPr="00E42E7C">
          <w:rPr>
            <w:rFonts w:ascii="Times New Roman" w:hAnsi="Times New Roman" w:cs="Times New Roman"/>
            <w:sz w:val="24"/>
            <w:szCs w:val="24"/>
          </w:rPr>
          <w:instrText xml:space="preserve"> PAGE   \* MERGEFORMAT </w:instrText>
        </w:r>
        <w:r w:rsidR="00062BA2" w:rsidRPr="00E42E7C">
          <w:rPr>
            <w:rFonts w:ascii="Times New Roman" w:hAnsi="Times New Roman" w:cs="Times New Roman"/>
            <w:sz w:val="24"/>
            <w:szCs w:val="24"/>
          </w:rPr>
          <w:fldChar w:fldCharType="separate"/>
        </w:r>
        <w:r w:rsidR="00114937">
          <w:rPr>
            <w:rFonts w:ascii="Times New Roman" w:hAnsi="Times New Roman" w:cs="Times New Roman"/>
            <w:noProof/>
            <w:sz w:val="24"/>
            <w:szCs w:val="24"/>
          </w:rPr>
          <w:t>6</w:t>
        </w:r>
        <w:r w:rsidR="00062BA2" w:rsidRPr="00E42E7C">
          <w:rPr>
            <w:rFonts w:ascii="Times New Roman" w:hAnsi="Times New Roman" w:cs="Times New Roman"/>
            <w:sz w:val="24"/>
            <w:szCs w:val="24"/>
          </w:rPr>
          <w:fldChar w:fldCharType="end"/>
        </w:r>
      </w:p>
    </w:sdtContent>
  </w:sdt>
  <w:p w:rsidR="00062BA2" w:rsidRPr="00E42E7C" w:rsidRDefault="00062BA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2BA2" w:rsidRPr="00E42E7C" w:rsidRDefault="00E42E7C">
    <w:pPr>
      <w:pStyle w:val="Header"/>
      <w:rPr>
        <w:rFonts w:ascii="Times New Roman" w:hAnsi="Times New Roman" w:cs="Times New Roman"/>
        <w:sz w:val="24"/>
        <w:szCs w:val="24"/>
      </w:rPr>
    </w:pPr>
    <w:r w:rsidRPr="00E42E7C">
      <w:rPr>
        <w:rFonts w:ascii="Times New Roman" w:hAnsi="Times New Roman" w:cs="Times New Roman"/>
        <w:sz w:val="24"/>
        <w:szCs w:val="24"/>
      </w:rPr>
      <w:t>Running head:  UNITED STATES CRIMINAL COURT SYSTEM</w:t>
    </w:r>
    <w:r w:rsidRPr="00E42E7C">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DF0"/>
    <w:rsid w:val="00032568"/>
    <w:rsid w:val="000374AD"/>
    <w:rsid w:val="00062BA2"/>
    <w:rsid w:val="000C2AFD"/>
    <w:rsid w:val="00114937"/>
    <w:rsid w:val="001B2505"/>
    <w:rsid w:val="00274B69"/>
    <w:rsid w:val="002B7541"/>
    <w:rsid w:val="002E7CCD"/>
    <w:rsid w:val="00354BFC"/>
    <w:rsid w:val="00377B23"/>
    <w:rsid w:val="00505D2D"/>
    <w:rsid w:val="00596D39"/>
    <w:rsid w:val="005A2CA6"/>
    <w:rsid w:val="00623DF0"/>
    <w:rsid w:val="007C2FA1"/>
    <w:rsid w:val="007F4A6F"/>
    <w:rsid w:val="008244DF"/>
    <w:rsid w:val="00924947"/>
    <w:rsid w:val="00960A00"/>
    <w:rsid w:val="00AA034E"/>
    <w:rsid w:val="00B21AD6"/>
    <w:rsid w:val="00BC495C"/>
    <w:rsid w:val="00C1234B"/>
    <w:rsid w:val="00E42E7C"/>
    <w:rsid w:val="00E537EF"/>
    <w:rsid w:val="00E86518"/>
    <w:rsid w:val="00F04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C71670-0437-433D-BE29-1C04275BA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0A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2B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2BA2"/>
  </w:style>
  <w:style w:type="paragraph" w:styleId="Footer">
    <w:name w:val="footer"/>
    <w:basedOn w:val="Normal"/>
    <w:link w:val="FooterChar"/>
    <w:uiPriority w:val="99"/>
    <w:semiHidden/>
    <w:unhideWhenUsed/>
    <w:rsid w:val="00062BA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62B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3941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BAEDA4-AE46-4C81-996F-041FD787F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1166</Words>
  <Characters>6649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Obinzu.S. Ogaye</dc:creator>
  <cp:lastModifiedBy>user</cp:lastModifiedBy>
  <cp:revision>2</cp:revision>
  <dcterms:created xsi:type="dcterms:W3CDTF">2020-06-18T18:30:00Z</dcterms:created>
  <dcterms:modified xsi:type="dcterms:W3CDTF">2020-06-18T18:30:00Z</dcterms:modified>
</cp:coreProperties>
</file>